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A9" w:rsidRDefault="00DF35A3" w:rsidP="004503A9">
      <w:pPr>
        <w:spacing w:after="100" w:afterAutospacing="1" w:line="255" w:lineRule="atLeast"/>
        <w:ind w:firstLine="720"/>
        <w:jc w:val="center"/>
        <w:rPr>
          <w:rFonts w:ascii="Arial" w:eastAsia="Times New Roman" w:hAnsi="Arial" w:cs="Arial"/>
          <w:color w:val="333333"/>
          <w:sz w:val="18"/>
          <w:szCs w:val="18"/>
        </w:rPr>
      </w:pPr>
      <w:r>
        <w:rPr>
          <w:rFonts w:ascii="Arial" w:eastAsia="Times New Roman" w:hAnsi="Arial" w:cs="Arial"/>
          <w:color w:val="333333"/>
          <w:sz w:val="18"/>
          <w:szCs w:val="18"/>
        </w:rPr>
        <w:t>BULLCOMING SHOCKWAVES STILL RIPPLING THROUGHOUT THE STATES</w:t>
      </w:r>
    </w:p>
    <w:p w:rsidR="004503A9" w:rsidRDefault="00DF35A3" w:rsidP="004503A9">
      <w:pPr>
        <w:spacing w:after="100" w:afterAutospacing="1" w:line="255" w:lineRule="atLeast"/>
        <w:ind w:firstLine="720"/>
        <w:jc w:val="center"/>
        <w:rPr>
          <w:rFonts w:ascii="Arial" w:eastAsia="Times New Roman" w:hAnsi="Arial" w:cs="Arial"/>
          <w:color w:val="333333"/>
          <w:sz w:val="18"/>
          <w:szCs w:val="18"/>
        </w:rPr>
      </w:pPr>
      <w:r>
        <w:rPr>
          <w:rFonts w:ascii="Arial" w:eastAsia="Times New Roman" w:hAnsi="Arial" w:cs="Arial"/>
          <w:color w:val="333333"/>
          <w:sz w:val="18"/>
          <w:szCs w:val="18"/>
        </w:rPr>
        <w:t>T</w:t>
      </w:r>
      <w:r w:rsidR="004503A9">
        <w:rPr>
          <w:rFonts w:ascii="Arial" w:eastAsia="Times New Roman" w:hAnsi="Arial" w:cs="Arial"/>
          <w:color w:val="333333"/>
          <w:sz w:val="18"/>
          <w:szCs w:val="18"/>
        </w:rPr>
        <w:t>he Supreme Court</w:t>
      </w:r>
      <w:r>
        <w:rPr>
          <w:rFonts w:ascii="Arial" w:eastAsia="Times New Roman" w:hAnsi="Arial" w:cs="Arial"/>
          <w:color w:val="333333"/>
          <w:sz w:val="18"/>
          <w:szCs w:val="18"/>
        </w:rPr>
        <w:t xml:space="preserve"> declares a lab report testimonial</w:t>
      </w:r>
      <w:r w:rsidR="004503A9">
        <w:rPr>
          <w:rFonts w:ascii="Arial" w:eastAsia="Times New Roman" w:hAnsi="Arial" w:cs="Arial"/>
          <w:color w:val="333333"/>
          <w:sz w:val="18"/>
          <w:szCs w:val="18"/>
        </w:rPr>
        <w:t xml:space="preserve"> in a vital opinion reinforcing the 6</w:t>
      </w:r>
      <w:r w:rsidR="004503A9" w:rsidRPr="004503A9">
        <w:rPr>
          <w:rFonts w:ascii="Arial" w:eastAsia="Times New Roman" w:hAnsi="Arial" w:cs="Arial"/>
          <w:color w:val="333333"/>
          <w:sz w:val="18"/>
          <w:szCs w:val="18"/>
          <w:vertAlign w:val="superscript"/>
        </w:rPr>
        <w:t>th</w:t>
      </w:r>
      <w:r w:rsidR="004503A9">
        <w:rPr>
          <w:rFonts w:ascii="Arial" w:eastAsia="Times New Roman" w:hAnsi="Arial" w:cs="Arial"/>
          <w:color w:val="333333"/>
          <w:sz w:val="18"/>
          <w:szCs w:val="18"/>
        </w:rPr>
        <w:t xml:space="preserve"> Amendment</w:t>
      </w:r>
    </w:p>
    <w:p w:rsidR="004503A9" w:rsidRPr="00DF35A3" w:rsidRDefault="00DF35A3" w:rsidP="00DF35A3">
      <w:pPr>
        <w:spacing w:after="100" w:afterAutospacing="1" w:line="480" w:lineRule="auto"/>
        <w:ind w:firstLine="720"/>
        <w:jc w:val="both"/>
        <w:rPr>
          <w:rFonts w:ascii="Arial" w:eastAsia="Times New Roman" w:hAnsi="Arial" w:cs="Arial"/>
          <w:color w:val="333333"/>
          <w:sz w:val="18"/>
          <w:szCs w:val="18"/>
        </w:rPr>
      </w:pPr>
      <w:r>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The lab technician who tries</w:t>
      </w:r>
      <w:r w:rsidR="00F14B5E" w:rsidRPr="00DF35A3">
        <w:rPr>
          <w:rFonts w:ascii="Arial" w:eastAsia="Times New Roman" w:hAnsi="Arial" w:cs="Arial"/>
          <w:color w:val="333333"/>
          <w:sz w:val="18"/>
          <w:szCs w:val="18"/>
        </w:rPr>
        <w:t xml:space="preserve"> to detect and measu</w:t>
      </w:r>
      <w:r w:rsidR="004503A9" w:rsidRPr="00DF35A3">
        <w:rPr>
          <w:rFonts w:ascii="Arial" w:eastAsia="Times New Roman" w:hAnsi="Arial" w:cs="Arial"/>
          <w:color w:val="333333"/>
          <w:sz w:val="18"/>
          <w:szCs w:val="18"/>
        </w:rPr>
        <w:t xml:space="preserve">re the amount of alcohol in a </w:t>
      </w:r>
      <w:proofErr w:type="gramStart"/>
      <w:r w:rsidR="004503A9" w:rsidRPr="00DF35A3">
        <w:rPr>
          <w:rFonts w:ascii="Arial" w:eastAsia="Times New Roman" w:hAnsi="Arial" w:cs="Arial"/>
          <w:color w:val="333333"/>
          <w:sz w:val="18"/>
          <w:szCs w:val="18"/>
        </w:rPr>
        <w:t>drunk</w:t>
      </w:r>
      <w:proofErr w:type="gramEnd"/>
      <w:r w:rsidR="004503A9" w:rsidRPr="00DF35A3">
        <w:rPr>
          <w:rFonts w:ascii="Arial" w:eastAsia="Times New Roman" w:hAnsi="Arial" w:cs="Arial"/>
          <w:color w:val="333333"/>
          <w:sz w:val="18"/>
          <w:szCs w:val="18"/>
        </w:rPr>
        <w:t xml:space="preserve"> driving case involving a</w:t>
      </w:r>
      <w:r w:rsidR="00F14B5E" w:rsidRPr="00DF35A3">
        <w:rPr>
          <w:rFonts w:ascii="Arial" w:eastAsia="Times New Roman" w:hAnsi="Arial" w:cs="Arial"/>
          <w:color w:val="333333"/>
          <w:sz w:val="18"/>
          <w:szCs w:val="18"/>
        </w:rPr>
        <w:t xml:space="preserve"> blood</w:t>
      </w:r>
      <w:r w:rsidR="004503A9" w:rsidRPr="00DF35A3">
        <w:rPr>
          <w:rFonts w:ascii="Arial" w:eastAsia="Times New Roman" w:hAnsi="Arial" w:cs="Arial"/>
          <w:color w:val="333333"/>
          <w:sz w:val="18"/>
          <w:szCs w:val="18"/>
        </w:rPr>
        <w:t xml:space="preserve"> analysis</w:t>
      </w:r>
      <w:r w:rsidR="00F14B5E" w:rsidRPr="00DF35A3">
        <w:rPr>
          <w:rFonts w:ascii="Arial" w:eastAsia="Times New Roman" w:hAnsi="Arial" w:cs="Arial"/>
          <w:color w:val="333333"/>
          <w:sz w:val="18"/>
          <w:szCs w:val="18"/>
        </w:rPr>
        <w:t xml:space="preserve"> must be present at court or</w:t>
      </w:r>
      <w:r w:rsidR="004503A9" w:rsidRPr="00DF35A3">
        <w:rPr>
          <w:rFonts w:ascii="Arial" w:eastAsia="Times New Roman" w:hAnsi="Arial" w:cs="Arial"/>
          <w:color w:val="333333"/>
          <w:sz w:val="18"/>
          <w:szCs w:val="18"/>
        </w:rPr>
        <w:t xml:space="preserve"> the 6</w:t>
      </w:r>
      <w:r w:rsidR="004503A9" w:rsidRPr="00DF35A3">
        <w:rPr>
          <w:rFonts w:ascii="Arial" w:eastAsia="Times New Roman" w:hAnsi="Arial" w:cs="Arial"/>
          <w:color w:val="333333"/>
          <w:sz w:val="18"/>
          <w:szCs w:val="18"/>
          <w:vertAlign w:val="superscript"/>
        </w:rPr>
        <w:t>th</w:t>
      </w:r>
      <w:r w:rsidR="004503A9" w:rsidRPr="00DF35A3">
        <w:rPr>
          <w:rFonts w:ascii="Arial" w:eastAsia="Times New Roman" w:hAnsi="Arial" w:cs="Arial"/>
          <w:color w:val="333333"/>
          <w:sz w:val="18"/>
          <w:szCs w:val="18"/>
        </w:rPr>
        <w:t xml:space="preserve"> Amendment of the Constitution is </w:t>
      </w:r>
      <w:r w:rsidR="00F14B5E" w:rsidRPr="00DF35A3">
        <w:rPr>
          <w:rFonts w:ascii="Arial" w:eastAsia="Times New Roman" w:hAnsi="Arial" w:cs="Arial"/>
          <w:color w:val="333333"/>
          <w:sz w:val="18"/>
          <w:szCs w:val="18"/>
        </w:rPr>
        <w:t>violated. The</w:t>
      </w:r>
      <w:r w:rsidR="004503A9" w:rsidRPr="00DF35A3">
        <w:rPr>
          <w:rFonts w:ascii="Arial" w:eastAsia="Times New Roman" w:hAnsi="Arial" w:cs="Arial"/>
          <w:color w:val="333333"/>
          <w:sz w:val="18"/>
          <w:szCs w:val="18"/>
        </w:rPr>
        <w:t xml:space="preserve"> Supreme </w:t>
      </w:r>
      <w:r w:rsidR="00F14B5E" w:rsidRPr="00DF35A3">
        <w:rPr>
          <w:rFonts w:ascii="Arial" w:eastAsia="Times New Roman" w:hAnsi="Arial" w:cs="Arial"/>
          <w:color w:val="333333"/>
          <w:sz w:val="18"/>
          <w:szCs w:val="18"/>
        </w:rPr>
        <w:t>Court</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of</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the</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United</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States</w:t>
      </w:r>
      <w:r w:rsidR="004503A9" w:rsidRPr="00DF35A3">
        <w:rPr>
          <w:rFonts w:ascii="Arial" w:eastAsia="Times New Roman" w:hAnsi="Arial" w:cs="Arial"/>
          <w:color w:val="333333"/>
          <w:sz w:val="18"/>
          <w:szCs w:val="18"/>
        </w:rPr>
        <w:t xml:space="preserve"> spoke and spoke loudly in </w:t>
      </w:r>
      <w:proofErr w:type="spellStart"/>
      <w:r w:rsidR="004503A9" w:rsidRPr="00DF35A3">
        <w:rPr>
          <w:rFonts w:ascii="Arial" w:eastAsia="Times New Roman" w:hAnsi="Arial" w:cs="Arial"/>
          <w:color w:val="333333"/>
          <w:sz w:val="18"/>
          <w:szCs w:val="18"/>
        </w:rPr>
        <w:t>Bullcoming</w:t>
      </w:r>
      <w:proofErr w:type="spellEnd"/>
      <w:r w:rsidR="004503A9" w:rsidRPr="00DF35A3">
        <w:rPr>
          <w:rFonts w:ascii="Arial" w:eastAsia="Times New Roman" w:hAnsi="Arial" w:cs="Arial"/>
          <w:color w:val="333333"/>
          <w:sz w:val="18"/>
          <w:szCs w:val="18"/>
        </w:rPr>
        <w:t xml:space="preserve"> v New Mexico.</w:t>
      </w:r>
      <w:r w:rsidR="00D566FA" w:rsidRPr="00DF35A3">
        <w:rPr>
          <w:rStyle w:val="FootnoteReference"/>
          <w:rFonts w:ascii="Arial" w:eastAsia="Times New Roman" w:hAnsi="Arial" w:cs="Arial"/>
          <w:color w:val="333333"/>
          <w:sz w:val="18"/>
          <w:szCs w:val="18"/>
        </w:rPr>
        <w:footnoteReference w:id="1"/>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The</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Supreme</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Court</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held</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that</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the</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lab</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technician</w:t>
      </w:r>
      <w:r w:rsidR="004503A9" w:rsidRPr="00DF35A3">
        <w:rPr>
          <w:rFonts w:ascii="Arial" w:eastAsia="Times New Roman" w:hAnsi="Arial" w:cs="Arial"/>
          <w:color w:val="333333"/>
          <w:sz w:val="18"/>
          <w:szCs w:val="18"/>
        </w:rPr>
        <w:t xml:space="preserve"> who actually </w:t>
      </w:r>
      <w:r w:rsidR="00F14B5E" w:rsidRPr="00DF35A3">
        <w:rPr>
          <w:rFonts w:ascii="Arial" w:eastAsia="Times New Roman" w:hAnsi="Arial" w:cs="Arial"/>
          <w:color w:val="333333"/>
          <w:sz w:val="18"/>
          <w:szCs w:val="18"/>
        </w:rPr>
        <w:t>conducted</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the</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analysis</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must</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be</w:t>
      </w:r>
      <w:r w:rsidR="004503A9" w:rsidRPr="00DF35A3">
        <w:rPr>
          <w:rFonts w:ascii="Arial" w:eastAsia="Times New Roman" w:hAnsi="Arial" w:cs="Arial"/>
          <w:color w:val="333333"/>
          <w:sz w:val="18"/>
          <w:szCs w:val="18"/>
        </w:rPr>
        <w:t xml:space="preserve"> presented </w:t>
      </w:r>
      <w:r w:rsidR="00F14B5E" w:rsidRPr="00DF35A3">
        <w:rPr>
          <w:rFonts w:ascii="Arial" w:eastAsia="Times New Roman" w:hAnsi="Arial" w:cs="Arial"/>
          <w:color w:val="333333"/>
          <w:sz w:val="18"/>
          <w:szCs w:val="18"/>
        </w:rPr>
        <w:t>at</w:t>
      </w:r>
      <w:r w:rsidR="004503A9"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trial</w:t>
      </w:r>
      <w:r w:rsidR="004503A9" w:rsidRPr="00DF35A3">
        <w:rPr>
          <w:rFonts w:ascii="Arial" w:eastAsia="Times New Roman" w:hAnsi="Arial" w:cs="Arial"/>
          <w:color w:val="333333"/>
          <w:sz w:val="18"/>
          <w:szCs w:val="18"/>
        </w:rPr>
        <w:t xml:space="preserve"> by </w:t>
      </w:r>
      <w:r w:rsidR="00F14B5E" w:rsidRPr="00DF35A3">
        <w:rPr>
          <w:rFonts w:ascii="Arial" w:eastAsia="Times New Roman" w:hAnsi="Arial" w:cs="Arial"/>
          <w:color w:val="333333"/>
          <w:sz w:val="18"/>
          <w:szCs w:val="18"/>
        </w:rPr>
        <w:t>the</w:t>
      </w:r>
      <w:r w:rsidR="004503A9" w:rsidRPr="00DF35A3">
        <w:rPr>
          <w:rFonts w:ascii="Arial" w:eastAsia="Times New Roman" w:hAnsi="Arial" w:cs="Arial"/>
          <w:color w:val="333333"/>
          <w:sz w:val="18"/>
          <w:szCs w:val="18"/>
        </w:rPr>
        <w:t xml:space="preserve"> government and that a “surrogate” is not acceptable for purposes of protecting the 6</w:t>
      </w:r>
      <w:r w:rsidR="004503A9" w:rsidRPr="00DF35A3">
        <w:rPr>
          <w:rFonts w:ascii="Arial" w:eastAsia="Times New Roman" w:hAnsi="Arial" w:cs="Arial"/>
          <w:color w:val="333333"/>
          <w:sz w:val="18"/>
          <w:szCs w:val="18"/>
          <w:vertAlign w:val="superscript"/>
        </w:rPr>
        <w:t>th</w:t>
      </w:r>
      <w:r w:rsidR="00D566FA" w:rsidRPr="00DF35A3">
        <w:rPr>
          <w:rFonts w:ascii="Arial" w:eastAsia="Times New Roman" w:hAnsi="Arial" w:cs="Arial"/>
          <w:color w:val="333333"/>
          <w:sz w:val="18"/>
          <w:szCs w:val="18"/>
        </w:rPr>
        <w:t xml:space="preserve"> Amendment right to confront witnesses.</w:t>
      </w:r>
    </w:p>
    <w:p w:rsidR="00816841" w:rsidRPr="00DF35A3" w:rsidRDefault="00816841" w:rsidP="00DF35A3">
      <w:pPr>
        <w:pStyle w:val="CM15"/>
        <w:spacing w:after="90" w:line="480" w:lineRule="auto"/>
        <w:jc w:val="both"/>
        <w:rPr>
          <w:rFonts w:ascii="Arial" w:eastAsia="Times New Roman" w:hAnsi="Arial" w:cs="Arial"/>
          <w:color w:val="333333"/>
          <w:sz w:val="18"/>
          <w:szCs w:val="18"/>
        </w:rPr>
      </w:pPr>
      <w:r w:rsidRPr="00DF35A3">
        <w:rPr>
          <w:rFonts w:ascii="Arial" w:eastAsia="Times New Roman" w:hAnsi="Arial" w:cs="Arial"/>
          <w:color w:val="333333"/>
          <w:sz w:val="18"/>
          <w:szCs w:val="18"/>
        </w:rPr>
        <w:t xml:space="preserve"> </w:t>
      </w:r>
      <w:r w:rsidR="00DF35A3" w:rsidRPr="00DF35A3">
        <w:rPr>
          <w:rFonts w:ascii="Arial" w:eastAsia="Times New Roman" w:hAnsi="Arial" w:cs="Arial"/>
          <w:color w:val="333333"/>
          <w:sz w:val="18"/>
          <w:szCs w:val="18"/>
        </w:rPr>
        <w:tab/>
      </w:r>
      <w:r w:rsidR="00F14B5E" w:rsidRPr="00DF35A3">
        <w:rPr>
          <w:rFonts w:ascii="Arial" w:eastAsia="Times New Roman" w:hAnsi="Arial" w:cs="Arial"/>
          <w:color w:val="333333"/>
          <w:sz w:val="18"/>
          <w:szCs w:val="18"/>
        </w:rPr>
        <w:t xml:space="preserve">The case involved a man charged with a crime in New Mexico called “aggravated-DUI” because he fled the scene of an accident and was arrested later, allegedly while drunk. His alleged blood was analyzed for an alcohol content estimate. Prior to trial, the analyst who actually conducted the analysis and wrote the report was placed on unpaid administrative leave. </w:t>
      </w:r>
      <w:r w:rsidR="004503A9" w:rsidRPr="00DF35A3">
        <w:rPr>
          <w:rFonts w:ascii="Arial" w:eastAsia="Times New Roman" w:hAnsi="Arial" w:cs="Arial"/>
          <w:color w:val="333333"/>
          <w:sz w:val="18"/>
          <w:szCs w:val="18"/>
        </w:rPr>
        <w:t xml:space="preserve"> </w:t>
      </w:r>
    </w:p>
    <w:p w:rsidR="00F14B5E" w:rsidRPr="00DF35A3" w:rsidRDefault="004503A9" w:rsidP="00DF35A3">
      <w:pPr>
        <w:pStyle w:val="CM15"/>
        <w:spacing w:after="90" w:line="480" w:lineRule="auto"/>
        <w:ind w:firstLine="720"/>
        <w:jc w:val="both"/>
        <w:rPr>
          <w:rFonts w:ascii="Arial" w:hAnsi="Arial" w:cs="Century Schoolbook"/>
          <w:color w:val="000000"/>
          <w:sz w:val="18"/>
          <w:szCs w:val="22"/>
        </w:rPr>
      </w:pPr>
      <w:r w:rsidRPr="00DF35A3">
        <w:rPr>
          <w:rFonts w:ascii="Arial" w:eastAsia="Times New Roman" w:hAnsi="Arial" w:cs="Arial"/>
          <w:color w:val="333333"/>
          <w:sz w:val="18"/>
          <w:szCs w:val="18"/>
        </w:rPr>
        <w:t xml:space="preserve">The </w:t>
      </w:r>
      <w:r w:rsidR="00F14B5E" w:rsidRPr="00DF35A3">
        <w:rPr>
          <w:rFonts w:ascii="Arial" w:eastAsia="Times New Roman" w:hAnsi="Arial" w:cs="Arial"/>
          <w:color w:val="333333"/>
          <w:sz w:val="18"/>
          <w:szCs w:val="18"/>
        </w:rPr>
        <w:t>government</w:t>
      </w:r>
      <w:r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called</w:t>
      </w:r>
      <w:r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a</w:t>
      </w:r>
      <w:r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supervisor</w:t>
      </w:r>
      <w:r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at</w:t>
      </w:r>
      <w:r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the</w:t>
      </w:r>
      <w:r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lab</w:t>
      </w:r>
      <w:r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as</w:t>
      </w:r>
      <w:r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a</w:t>
      </w:r>
      <w:r w:rsidRPr="00DF35A3">
        <w:rPr>
          <w:rFonts w:ascii="Arial" w:eastAsia="Times New Roman" w:hAnsi="Arial" w:cs="Arial"/>
          <w:color w:val="333333"/>
          <w:sz w:val="18"/>
          <w:szCs w:val="18"/>
        </w:rPr>
        <w:t xml:space="preserve"> </w:t>
      </w:r>
      <w:r w:rsidR="00F14B5E" w:rsidRPr="00DF35A3">
        <w:rPr>
          <w:rFonts w:ascii="Arial" w:eastAsia="Times New Roman" w:hAnsi="Arial" w:cs="Arial"/>
          <w:color w:val="333333"/>
          <w:sz w:val="18"/>
          <w:szCs w:val="18"/>
        </w:rPr>
        <w:t>surrogate</w:t>
      </w:r>
      <w:r w:rsidRPr="00DF35A3">
        <w:rPr>
          <w:rFonts w:ascii="Arial" w:eastAsia="Times New Roman" w:hAnsi="Arial" w:cs="Arial"/>
          <w:color w:val="333333"/>
          <w:sz w:val="18"/>
          <w:szCs w:val="18"/>
        </w:rPr>
        <w:t>.</w:t>
      </w:r>
      <w:r w:rsidR="00D566FA" w:rsidRPr="00DF35A3">
        <w:rPr>
          <w:rFonts w:ascii="Arial" w:eastAsia="Times New Roman" w:hAnsi="Arial" w:cs="Arial"/>
          <w:color w:val="333333"/>
          <w:sz w:val="18"/>
          <w:szCs w:val="18"/>
        </w:rPr>
        <w:t xml:space="preserve"> </w:t>
      </w:r>
      <w:r w:rsidR="00816841" w:rsidRPr="00DF35A3">
        <w:rPr>
          <w:rFonts w:ascii="Arial" w:eastAsia="Times New Roman" w:hAnsi="Arial" w:cs="Arial"/>
          <w:color w:val="333333"/>
          <w:sz w:val="18"/>
          <w:szCs w:val="18"/>
        </w:rPr>
        <w:t xml:space="preserve">The analysis of Mr. </w:t>
      </w:r>
      <w:proofErr w:type="spellStart"/>
      <w:r w:rsidR="00816841" w:rsidRPr="00DF35A3">
        <w:rPr>
          <w:rFonts w:ascii="Arial" w:eastAsia="Times New Roman" w:hAnsi="Arial" w:cs="Arial"/>
          <w:color w:val="333333"/>
          <w:sz w:val="18"/>
          <w:szCs w:val="18"/>
        </w:rPr>
        <w:t>Bullcoming’s</w:t>
      </w:r>
      <w:proofErr w:type="spellEnd"/>
      <w:r w:rsidR="00816841" w:rsidRPr="00DF35A3">
        <w:rPr>
          <w:rFonts w:ascii="Arial" w:eastAsia="Times New Roman" w:hAnsi="Arial" w:cs="Arial"/>
          <w:color w:val="333333"/>
          <w:sz w:val="18"/>
          <w:szCs w:val="18"/>
        </w:rPr>
        <w:t xml:space="preserve"> blood was done utilizing headspace gas chromatography (HS/GC). HS/GC is a commonly used chemical analysis process that attempts to detect the presence and concentration of ethyl alcohol in a blood sample by mixing the blood with a different type of alcohol compound. The mixture is then converted to gas. The compoun</w:t>
      </w:r>
      <w:r w:rsidR="00DF35A3" w:rsidRPr="00DF35A3">
        <w:rPr>
          <w:rFonts w:ascii="Arial" w:eastAsia="Times New Roman" w:hAnsi="Arial" w:cs="Arial"/>
          <w:color w:val="333333"/>
          <w:sz w:val="18"/>
          <w:szCs w:val="18"/>
        </w:rPr>
        <w:t>d</w:t>
      </w:r>
      <w:r w:rsidR="00816841" w:rsidRPr="00DF35A3">
        <w:rPr>
          <w:rFonts w:ascii="Arial" w:eastAsia="Times New Roman" w:hAnsi="Arial" w:cs="Arial"/>
          <w:color w:val="333333"/>
          <w:sz w:val="18"/>
          <w:szCs w:val="18"/>
        </w:rPr>
        <w:t>s are analyzed by comparing the response that each gives when it passes through a heat</w:t>
      </w:r>
      <w:r w:rsidR="00DF35A3" w:rsidRPr="00DF35A3">
        <w:rPr>
          <w:rFonts w:ascii="Arial" w:eastAsia="Times New Roman" w:hAnsi="Arial" w:cs="Arial"/>
          <w:color w:val="333333"/>
          <w:sz w:val="18"/>
          <w:szCs w:val="18"/>
        </w:rPr>
        <w:t xml:space="preserve">ed column and each compound </w:t>
      </w:r>
      <w:proofErr w:type="gramStart"/>
      <w:r w:rsidR="00DF35A3" w:rsidRPr="00DF35A3">
        <w:rPr>
          <w:rFonts w:ascii="Arial" w:eastAsia="Times New Roman" w:hAnsi="Arial" w:cs="Arial"/>
          <w:color w:val="333333"/>
          <w:sz w:val="18"/>
          <w:szCs w:val="18"/>
        </w:rPr>
        <w:t>sepa</w:t>
      </w:r>
      <w:r w:rsidR="00816841" w:rsidRPr="00DF35A3">
        <w:rPr>
          <w:rFonts w:ascii="Arial" w:eastAsia="Times New Roman" w:hAnsi="Arial" w:cs="Arial"/>
          <w:color w:val="333333"/>
          <w:sz w:val="18"/>
          <w:szCs w:val="18"/>
        </w:rPr>
        <w:t>rates</w:t>
      </w:r>
      <w:proofErr w:type="gramEnd"/>
      <w:r w:rsidR="00816841" w:rsidRPr="00DF35A3">
        <w:rPr>
          <w:rFonts w:ascii="Arial" w:eastAsia="Times New Roman" w:hAnsi="Arial" w:cs="Arial"/>
          <w:color w:val="333333"/>
          <w:sz w:val="18"/>
          <w:szCs w:val="18"/>
        </w:rPr>
        <w:t xml:space="preserve"> or “elutes” from the mixture. The court stated: “</w:t>
      </w:r>
      <w:r w:rsidR="00816841" w:rsidRPr="00DF35A3">
        <w:rPr>
          <w:rFonts w:ascii="Arial" w:hAnsi="Arial" w:cs="Century Schoolbook"/>
          <w:color w:val="000000"/>
          <w:sz w:val="18"/>
          <w:szCs w:val="22"/>
        </w:rPr>
        <w:t>Several steps are</w:t>
      </w:r>
      <w:r w:rsidR="00816841" w:rsidRPr="00DF35A3">
        <w:rPr>
          <w:rFonts w:ascii="Arial" w:hAnsi="Arial" w:cs="Century Schoolbook"/>
          <w:color w:val="000000"/>
          <w:sz w:val="18"/>
          <w:szCs w:val="22"/>
        </w:rPr>
        <w:t xml:space="preserve"> </w:t>
      </w:r>
      <w:r w:rsidR="00816841" w:rsidRPr="00DF35A3">
        <w:rPr>
          <w:rFonts w:ascii="Arial" w:hAnsi="Arial" w:cs="Century Schoolbook"/>
          <w:color w:val="000000"/>
          <w:sz w:val="18"/>
          <w:szCs w:val="22"/>
        </w:rPr>
        <w:t>involved in the gas chromatograph process, and human error can occur at each step</w:t>
      </w:r>
      <w:r w:rsidR="00816841" w:rsidRPr="00DF35A3">
        <w:rPr>
          <w:rFonts w:ascii="Arial" w:hAnsi="Arial" w:cs="Century Schoolbook"/>
          <w:color w:val="000000"/>
          <w:sz w:val="18"/>
          <w:szCs w:val="22"/>
        </w:rPr>
        <w:t xml:space="preserve">” (Slip Op. at 4). Thus, the practical issue of calling a “surrogate” – only the analyst who conducted that citizen’s blood analysis can answer questions about the circumstances that may have affected the specific accuracy </w:t>
      </w:r>
      <w:r w:rsidR="001132F1" w:rsidRPr="00DF35A3">
        <w:rPr>
          <w:rFonts w:ascii="Arial" w:hAnsi="Arial" w:cs="Century Schoolbook"/>
          <w:color w:val="000000"/>
          <w:sz w:val="18"/>
          <w:szCs w:val="22"/>
        </w:rPr>
        <w:t>in any particular case.</w:t>
      </w:r>
    </w:p>
    <w:p w:rsidR="00F14B5E" w:rsidRPr="00DF35A3" w:rsidRDefault="00F14B5E" w:rsidP="00DF35A3">
      <w:pPr>
        <w:spacing w:after="0" w:line="480" w:lineRule="auto"/>
        <w:ind w:firstLine="720"/>
        <w:jc w:val="both"/>
        <w:rPr>
          <w:rFonts w:ascii="Arial" w:eastAsia="Times New Roman" w:hAnsi="Arial" w:cs="Arial"/>
          <w:color w:val="333333"/>
          <w:sz w:val="18"/>
          <w:szCs w:val="18"/>
        </w:rPr>
      </w:pPr>
      <w:r w:rsidRPr="00DF35A3">
        <w:rPr>
          <w:rFonts w:ascii="Arial" w:eastAsia="Times New Roman" w:hAnsi="Arial" w:cs="Arial"/>
          <w:color w:val="333333"/>
          <w:sz w:val="18"/>
          <w:szCs w:val="18"/>
        </w:rPr>
        <w:t>The court also held that the report analyzing the accused citizen’s blood is “testimonial” for purposes of the confrontation clause of the 6</w:t>
      </w:r>
      <w:r w:rsidRPr="00DF35A3">
        <w:rPr>
          <w:rFonts w:ascii="Arial" w:eastAsia="Times New Roman" w:hAnsi="Arial" w:cs="Arial"/>
          <w:color w:val="333333"/>
          <w:sz w:val="18"/>
          <w:szCs w:val="18"/>
          <w:vertAlign w:val="superscript"/>
        </w:rPr>
        <w:t>th</w:t>
      </w:r>
      <w:r w:rsidRPr="00DF35A3">
        <w:rPr>
          <w:rFonts w:ascii="Arial" w:eastAsia="Times New Roman" w:hAnsi="Arial" w:cs="Arial"/>
          <w:color w:val="333333"/>
          <w:sz w:val="18"/>
          <w:szCs w:val="18"/>
        </w:rPr>
        <w:t xml:space="preserve"> Amendment to the United Sta</w:t>
      </w:r>
      <w:r w:rsidR="00816841" w:rsidRPr="00DF35A3">
        <w:rPr>
          <w:rFonts w:ascii="Arial" w:eastAsia="Times New Roman" w:hAnsi="Arial" w:cs="Arial"/>
          <w:color w:val="333333"/>
          <w:sz w:val="18"/>
          <w:szCs w:val="18"/>
        </w:rPr>
        <w:t xml:space="preserve">tes Constitution. </w:t>
      </w:r>
      <w:r w:rsidR="004503A9" w:rsidRPr="00DF35A3">
        <w:rPr>
          <w:rFonts w:ascii="Arial" w:eastAsia="Times New Roman" w:hAnsi="Arial" w:cs="Arial"/>
          <w:color w:val="333333"/>
          <w:sz w:val="18"/>
          <w:szCs w:val="18"/>
        </w:rPr>
        <w:t>T</w:t>
      </w:r>
      <w:r w:rsidRPr="00DF35A3">
        <w:rPr>
          <w:rFonts w:ascii="Arial" w:eastAsia="Times New Roman" w:hAnsi="Arial" w:cs="Arial"/>
          <w:color w:val="333333"/>
          <w:sz w:val="18"/>
          <w:szCs w:val="18"/>
        </w:rPr>
        <w:t>he 6</w:t>
      </w:r>
      <w:r w:rsidRPr="00DF35A3">
        <w:rPr>
          <w:rFonts w:ascii="Arial" w:eastAsia="Times New Roman" w:hAnsi="Arial" w:cs="Arial"/>
          <w:color w:val="333333"/>
          <w:sz w:val="18"/>
          <w:szCs w:val="18"/>
          <w:vertAlign w:val="superscript"/>
        </w:rPr>
        <w:t>th</w:t>
      </w:r>
      <w:r w:rsidRPr="00DF35A3">
        <w:rPr>
          <w:rFonts w:ascii="Arial" w:eastAsia="Times New Roman" w:hAnsi="Arial" w:cs="Arial"/>
          <w:color w:val="333333"/>
          <w:sz w:val="18"/>
          <w:szCs w:val="18"/>
        </w:rPr>
        <w:t xml:space="preserve"> Amendment of the Constitution requires the government to call live witnesses, who must swear an oath and testify before the jury. The Amendment is designed to avoid problems such as those which existed in England and lead to the conviction of Sir Walter Raleigh; it also lead to the death of women in colonial America who were burned at the stake for witchcraft – all without live testimony but letters and out of court accusations that the jury was never a</w:t>
      </w:r>
      <w:r w:rsidR="00816841" w:rsidRPr="00DF35A3">
        <w:rPr>
          <w:rFonts w:ascii="Arial" w:eastAsia="Times New Roman" w:hAnsi="Arial" w:cs="Arial"/>
          <w:color w:val="333333"/>
          <w:sz w:val="18"/>
          <w:szCs w:val="18"/>
        </w:rPr>
        <w:t>llowed to hear or see.</w:t>
      </w:r>
    </w:p>
    <w:p w:rsidR="00816841" w:rsidRPr="00DF35A3" w:rsidRDefault="00816841" w:rsidP="00DF35A3">
      <w:pPr>
        <w:spacing w:after="0" w:line="480" w:lineRule="auto"/>
        <w:jc w:val="both"/>
        <w:rPr>
          <w:rFonts w:ascii="Arial" w:eastAsia="Times New Roman" w:hAnsi="Arial" w:cs="Arial"/>
          <w:color w:val="333333"/>
          <w:sz w:val="18"/>
          <w:szCs w:val="18"/>
        </w:rPr>
      </w:pPr>
    </w:p>
    <w:p w:rsidR="00F14B5E" w:rsidRPr="00DF35A3" w:rsidRDefault="00816841" w:rsidP="00DF35A3">
      <w:pPr>
        <w:spacing w:after="0" w:line="480" w:lineRule="auto"/>
        <w:jc w:val="both"/>
        <w:rPr>
          <w:rFonts w:ascii="Arial" w:eastAsia="Times New Roman" w:hAnsi="Arial" w:cs="Arial"/>
          <w:color w:val="333333"/>
          <w:sz w:val="18"/>
          <w:szCs w:val="18"/>
        </w:rPr>
      </w:pPr>
      <w:r w:rsidRPr="00DF35A3">
        <w:rPr>
          <w:rFonts w:ascii="Arial" w:eastAsia="Times New Roman" w:hAnsi="Arial" w:cs="Arial"/>
          <w:color w:val="333333"/>
          <w:sz w:val="18"/>
          <w:szCs w:val="18"/>
        </w:rPr>
        <w:tab/>
      </w:r>
      <w:r w:rsidR="00F14B5E" w:rsidRPr="00DF35A3">
        <w:rPr>
          <w:rFonts w:ascii="Arial" w:eastAsia="Times New Roman" w:hAnsi="Arial" w:cs="Arial"/>
          <w:color w:val="333333"/>
          <w:sz w:val="18"/>
          <w:szCs w:val="18"/>
        </w:rPr>
        <w:t> </w:t>
      </w:r>
    </w:p>
    <w:p w:rsidR="00F14B5E" w:rsidRPr="00DF35A3" w:rsidRDefault="004503A9" w:rsidP="00DF35A3">
      <w:pPr>
        <w:spacing w:after="0" w:line="480" w:lineRule="auto"/>
        <w:ind w:firstLine="720"/>
        <w:jc w:val="both"/>
        <w:rPr>
          <w:rFonts w:ascii="Arial" w:eastAsia="Times New Roman" w:hAnsi="Arial" w:cs="Arial"/>
          <w:color w:val="333333"/>
          <w:sz w:val="18"/>
          <w:szCs w:val="18"/>
        </w:rPr>
      </w:pPr>
      <w:r w:rsidRPr="00DF35A3">
        <w:rPr>
          <w:rFonts w:ascii="Arial" w:eastAsia="Times New Roman" w:hAnsi="Arial" w:cs="Arial"/>
          <w:color w:val="333333"/>
          <w:sz w:val="18"/>
          <w:szCs w:val="18"/>
        </w:rPr>
        <w:lastRenderedPageBreak/>
        <w:t>The case</w:t>
      </w:r>
      <w:r w:rsidR="00F14B5E" w:rsidRPr="00DF35A3">
        <w:rPr>
          <w:rFonts w:ascii="Arial" w:eastAsia="Times New Roman" w:hAnsi="Arial" w:cs="Arial"/>
          <w:color w:val="333333"/>
          <w:sz w:val="18"/>
          <w:szCs w:val="18"/>
        </w:rPr>
        <w:t xml:space="preserve"> was decided Thursday June 23, 2011. It is an extension of the principle of a prior 2009 case called </w:t>
      </w:r>
      <w:r w:rsidR="00F14B5E" w:rsidRPr="00DF35A3">
        <w:rPr>
          <w:rFonts w:ascii="Arial" w:eastAsia="Times New Roman" w:hAnsi="Arial" w:cs="Arial"/>
          <w:iCs/>
          <w:color w:val="333333"/>
          <w:sz w:val="18"/>
          <w:szCs w:val="18"/>
        </w:rPr>
        <w:t>Melendez-Diaz</w:t>
      </w:r>
      <w:r w:rsidR="00F14B5E" w:rsidRPr="00DF35A3">
        <w:rPr>
          <w:rFonts w:ascii="Arial" w:eastAsia="Times New Roman" w:hAnsi="Arial" w:cs="Arial"/>
          <w:color w:val="333333"/>
          <w:sz w:val="18"/>
          <w:szCs w:val="18"/>
        </w:rPr>
        <w:t xml:space="preserve"> v </w:t>
      </w:r>
      <w:r w:rsidR="00F14B5E" w:rsidRPr="00DF35A3">
        <w:rPr>
          <w:rFonts w:ascii="Arial" w:eastAsia="Times New Roman" w:hAnsi="Arial" w:cs="Arial"/>
          <w:iCs/>
          <w:color w:val="333333"/>
          <w:sz w:val="18"/>
          <w:szCs w:val="18"/>
        </w:rPr>
        <w:t>Massachusetts</w:t>
      </w:r>
      <w:r w:rsidR="00E92050" w:rsidRPr="00DF35A3">
        <w:rPr>
          <w:rFonts w:ascii="Arial" w:eastAsia="Times New Roman" w:hAnsi="Arial" w:cs="Arial"/>
          <w:iCs/>
          <w:color w:val="333333"/>
          <w:sz w:val="18"/>
          <w:szCs w:val="18"/>
        </w:rPr>
        <w:t xml:space="preserve">. </w:t>
      </w:r>
      <w:r w:rsidR="00F14B5E" w:rsidRPr="00DF35A3">
        <w:rPr>
          <w:rFonts w:ascii="Arial" w:eastAsia="Times New Roman" w:hAnsi="Arial" w:cs="Arial"/>
          <w:color w:val="333333"/>
          <w:sz w:val="18"/>
          <w:szCs w:val="18"/>
        </w:rPr>
        <w:t xml:space="preserve"> It means that the lab analysis is a testimonial document and the author of the document must be the one who testifies at trial or else the document is not admissible. These cases are part of the ongoing protection of the citizens of the United States from convictions by statements or documents that are not tested through live appearance under oath before a jury and subject to cross examination by the lawyer for the accused. It is one way street: the government is not entitled to confrontation. Typical hearsay rules apply, but not constitutional safeguards.</w:t>
      </w:r>
    </w:p>
    <w:p w:rsidR="00F14B5E" w:rsidRPr="00DF35A3" w:rsidRDefault="00F14B5E" w:rsidP="00DF35A3">
      <w:pPr>
        <w:spacing w:after="0" w:line="480" w:lineRule="auto"/>
        <w:jc w:val="both"/>
        <w:rPr>
          <w:rFonts w:ascii="Arial" w:eastAsia="Times New Roman" w:hAnsi="Arial" w:cs="Arial"/>
          <w:color w:val="333333"/>
          <w:sz w:val="18"/>
          <w:szCs w:val="18"/>
        </w:rPr>
      </w:pPr>
      <w:r w:rsidRPr="00DF35A3">
        <w:rPr>
          <w:rFonts w:ascii="Arial" w:eastAsia="Times New Roman" w:hAnsi="Arial" w:cs="Arial"/>
          <w:color w:val="333333"/>
          <w:sz w:val="18"/>
          <w:szCs w:val="18"/>
        </w:rPr>
        <w:t> </w:t>
      </w:r>
    </w:p>
    <w:p w:rsidR="00DF35A3" w:rsidRPr="00DF35A3" w:rsidRDefault="00F14B5E" w:rsidP="00DF35A3">
      <w:pPr>
        <w:spacing w:after="0" w:line="480" w:lineRule="auto"/>
        <w:ind w:firstLine="720"/>
        <w:jc w:val="both"/>
        <w:rPr>
          <w:rFonts w:ascii="Arial" w:eastAsia="Times New Roman" w:hAnsi="Arial" w:cs="Arial"/>
          <w:color w:val="333333"/>
          <w:sz w:val="18"/>
          <w:szCs w:val="18"/>
        </w:rPr>
      </w:pPr>
      <w:r w:rsidRPr="00DF35A3">
        <w:rPr>
          <w:rFonts w:ascii="Arial" w:eastAsia="Times New Roman" w:hAnsi="Arial" w:cs="Arial"/>
          <w:color w:val="333333"/>
          <w:sz w:val="18"/>
          <w:szCs w:val="18"/>
        </w:rPr>
        <w:t>I</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found</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it</w:t>
      </w:r>
      <w:r w:rsidR="00E92050" w:rsidRPr="00DF35A3">
        <w:rPr>
          <w:rFonts w:ascii="Arial" w:eastAsia="Times New Roman" w:hAnsi="Arial" w:cs="Arial"/>
          <w:color w:val="333333"/>
          <w:sz w:val="18"/>
          <w:szCs w:val="18"/>
        </w:rPr>
        <w:t xml:space="preserve"> interesting that </w:t>
      </w:r>
      <w:r w:rsidRPr="00DF35A3">
        <w:rPr>
          <w:rFonts w:ascii="Arial" w:eastAsia="Times New Roman" w:hAnsi="Arial" w:cs="Arial"/>
          <w:color w:val="333333"/>
          <w:sz w:val="18"/>
          <w:szCs w:val="18"/>
        </w:rPr>
        <w:t>the</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court</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used</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prior</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opinions</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that</w:t>
      </w:r>
      <w:r w:rsidR="00E92050" w:rsidRPr="00DF35A3">
        <w:rPr>
          <w:rFonts w:ascii="Arial" w:eastAsia="Times New Roman" w:hAnsi="Arial" w:cs="Arial"/>
          <w:color w:val="333333"/>
          <w:sz w:val="18"/>
          <w:szCs w:val="18"/>
        </w:rPr>
        <w:t xml:space="preserve"> seemed </w:t>
      </w:r>
      <w:r w:rsidRPr="00DF35A3">
        <w:rPr>
          <w:rFonts w:ascii="Arial" w:eastAsia="Times New Roman" w:hAnsi="Arial" w:cs="Arial"/>
          <w:color w:val="333333"/>
          <w:sz w:val="18"/>
          <w:szCs w:val="18"/>
        </w:rPr>
        <w:t>to</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narrow</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the</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confrontation</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right</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to</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advance</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it</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in</w:t>
      </w:r>
      <w:r w:rsidR="00E92050" w:rsidRPr="00DF35A3">
        <w:rPr>
          <w:rFonts w:ascii="Arial" w:eastAsia="Times New Roman" w:hAnsi="Arial" w:cs="Arial"/>
          <w:color w:val="333333"/>
          <w:sz w:val="18"/>
          <w:szCs w:val="18"/>
        </w:rPr>
        <w:t xml:space="preserve"> </w:t>
      </w:r>
      <w:r w:rsidRPr="00DF35A3">
        <w:rPr>
          <w:rFonts w:ascii="Arial" w:eastAsia="Times New Roman" w:hAnsi="Arial" w:cs="Arial"/>
          <w:color w:val="333333"/>
          <w:sz w:val="18"/>
          <w:szCs w:val="18"/>
        </w:rPr>
        <w:t>thi</w:t>
      </w:r>
      <w:r w:rsidR="00E92050" w:rsidRPr="00DF35A3">
        <w:rPr>
          <w:rFonts w:ascii="Arial" w:eastAsia="Times New Roman" w:hAnsi="Arial" w:cs="Arial"/>
          <w:color w:val="333333"/>
          <w:sz w:val="18"/>
          <w:szCs w:val="18"/>
        </w:rPr>
        <w:t xml:space="preserve">s </w:t>
      </w:r>
      <w:r w:rsidRPr="00DF35A3">
        <w:rPr>
          <w:rFonts w:ascii="Arial" w:eastAsia="Times New Roman" w:hAnsi="Arial" w:cs="Arial"/>
          <w:color w:val="333333"/>
          <w:sz w:val="18"/>
          <w:szCs w:val="18"/>
        </w:rPr>
        <w:t xml:space="preserve">case. For example, the court held that the primary purpose test of a statement meant that the </w:t>
      </w:r>
      <w:r w:rsidR="00E92050" w:rsidRPr="00DF35A3">
        <w:rPr>
          <w:rFonts w:ascii="Arial" w:eastAsia="Times New Roman" w:hAnsi="Arial" w:cs="Arial"/>
          <w:color w:val="333333"/>
          <w:sz w:val="18"/>
          <w:szCs w:val="18"/>
        </w:rPr>
        <w:t>lab record here was defined as testimonial</w:t>
      </w:r>
      <w:r w:rsidRPr="00DF35A3">
        <w:rPr>
          <w:rFonts w:ascii="Arial" w:eastAsia="Times New Roman" w:hAnsi="Arial" w:cs="Arial"/>
          <w:color w:val="333333"/>
          <w:sz w:val="18"/>
          <w:szCs w:val="18"/>
        </w:rPr>
        <w:t xml:space="preserve"> because its primary purpose was to gene</w:t>
      </w:r>
      <w:r w:rsidR="00E92050" w:rsidRPr="00DF35A3">
        <w:rPr>
          <w:rFonts w:ascii="Arial" w:eastAsia="Times New Roman" w:hAnsi="Arial" w:cs="Arial"/>
          <w:color w:val="333333"/>
          <w:sz w:val="18"/>
          <w:szCs w:val="18"/>
        </w:rPr>
        <w:t>rate evidence in an OWI trial</w:t>
      </w:r>
      <w:r w:rsidRPr="00DF35A3">
        <w:rPr>
          <w:rFonts w:ascii="Arial" w:eastAsia="Times New Roman" w:hAnsi="Arial" w:cs="Arial"/>
          <w:color w:val="333333"/>
          <w:sz w:val="18"/>
          <w:szCs w:val="18"/>
        </w:rPr>
        <w:t>.</w:t>
      </w:r>
      <w:r w:rsidR="001132F1" w:rsidRPr="00DF35A3">
        <w:rPr>
          <w:rStyle w:val="FootnoteReference"/>
          <w:rFonts w:ascii="Arial" w:eastAsia="Times New Roman" w:hAnsi="Arial" w:cs="Arial"/>
          <w:color w:val="333333"/>
          <w:sz w:val="18"/>
          <w:szCs w:val="18"/>
        </w:rPr>
        <w:footnoteReference w:id="2"/>
      </w:r>
      <w:r w:rsidR="001132F1" w:rsidRPr="00DF35A3">
        <w:rPr>
          <w:rFonts w:ascii="Arial" w:eastAsia="Times New Roman" w:hAnsi="Arial" w:cs="Arial"/>
          <w:color w:val="333333"/>
          <w:sz w:val="18"/>
          <w:szCs w:val="18"/>
        </w:rPr>
        <w:t xml:space="preserve"> </w:t>
      </w:r>
    </w:p>
    <w:p w:rsidR="00DF35A3" w:rsidRPr="00DF35A3" w:rsidRDefault="00DF35A3" w:rsidP="00DF35A3">
      <w:pPr>
        <w:spacing w:after="0" w:line="480" w:lineRule="auto"/>
        <w:jc w:val="both"/>
        <w:rPr>
          <w:rFonts w:ascii="Arial" w:eastAsia="Times New Roman" w:hAnsi="Arial" w:cs="Arial"/>
          <w:color w:val="333333"/>
          <w:sz w:val="18"/>
          <w:szCs w:val="18"/>
        </w:rPr>
      </w:pPr>
    </w:p>
    <w:p w:rsidR="00F14B5E" w:rsidRPr="00DF35A3" w:rsidRDefault="001132F1" w:rsidP="00DF35A3">
      <w:pPr>
        <w:spacing w:after="0" w:line="480" w:lineRule="auto"/>
        <w:ind w:firstLine="720"/>
        <w:jc w:val="both"/>
        <w:rPr>
          <w:rFonts w:ascii="Arial" w:eastAsia="Times New Roman" w:hAnsi="Arial" w:cs="Arial"/>
          <w:color w:val="333333"/>
          <w:sz w:val="18"/>
          <w:szCs w:val="18"/>
        </w:rPr>
      </w:pPr>
      <w:r w:rsidRPr="00DF35A3">
        <w:rPr>
          <w:rFonts w:ascii="Arial" w:eastAsia="Times New Roman" w:hAnsi="Arial" w:cs="Arial"/>
          <w:color w:val="333333"/>
          <w:sz w:val="18"/>
          <w:szCs w:val="18"/>
        </w:rPr>
        <w:t xml:space="preserve">Already </w:t>
      </w:r>
      <w:proofErr w:type="spellStart"/>
      <w:r w:rsidRPr="00DF35A3">
        <w:rPr>
          <w:rFonts w:ascii="Arial" w:eastAsia="Times New Roman" w:hAnsi="Arial" w:cs="Arial"/>
          <w:color w:val="333333"/>
          <w:sz w:val="18"/>
          <w:szCs w:val="18"/>
        </w:rPr>
        <w:t>Bullcoming</w:t>
      </w:r>
      <w:proofErr w:type="spellEnd"/>
      <w:r w:rsidRPr="00DF35A3">
        <w:rPr>
          <w:rFonts w:ascii="Arial" w:eastAsia="Times New Roman" w:hAnsi="Arial" w:cs="Arial"/>
          <w:color w:val="333333"/>
          <w:sz w:val="18"/>
          <w:szCs w:val="18"/>
        </w:rPr>
        <w:t xml:space="preserve"> is being distinguished. In New Jersey v Roach, an appellate court upheld a conviction in a case in which a lab supervisor was allowed to testify in the form of comment on the underlying accuracy of lab reports that were never admitted into evidence.</w:t>
      </w:r>
      <w:r w:rsidRPr="00DF35A3">
        <w:rPr>
          <w:rStyle w:val="FootnoteReference"/>
          <w:rFonts w:ascii="Arial" w:eastAsia="Times New Roman" w:hAnsi="Arial" w:cs="Arial"/>
          <w:color w:val="333333"/>
          <w:sz w:val="18"/>
          <w:szCs w:val="18"/>
        </w:rPr>
        <w:footnoteReference w:id="3"/>
      </w:r>
      <w:r w:rsidRPr="00DF35A3">
        <w:rPr>
          <w:rFonts w:ascii="Arial" w:eastAsia="Times New Roman" w:hAnsi="Arial" w:cs="Arial"/>
          <w:color w:val="333333"/>
          <w:sz w:val="18"/>
          <w:szCs w:val="18"/>
        </w:rPr>
        <w:t xml:space="preserve">  The rationale is that if the testimonial certificate is not used against the accused, confrontation is not violated by having a surrogate comment on it. See the logic?</w:t>
      </w:r>
    </w:p>
    <w:p w:rsidR="001132F1" w:rsidRPr="00DF35A3" w:rsidRDefault="001132F1" w:rsidP="00DF35A3">
      <w:pPr>
        <w:spacing w:after="0" w:line="480" w:lineRule="auto"/>
        <w:jc w:val="both"/>
        <w:rPr>
          <w:rFonts w:ascii="Arial" w:eastAsia="Times New Roman" w:hAnsi="Arial" w:cs="Arial"/>
          <w:color w:val="333333"/>
          <w:sz w:val="18"/>
          <w:szCs w:val="18"/>
        </w:rPr>
      </w:pPr>
    </w:p>
    <w:p w:rsidR="001132F1" w:rsidRPr="00DF35A3" w:rsidRDefault="001132F1" w:rsidP="00DF35A3">
      <w:pPr>
        <w:spacing w:after="0" w:line="480" w:lineRule="auto"/>
        <w:jc w:val="both"/>
        <w:rPr>
          <w:rFonts w:ascii="Arial" w:eastAsia="Times New Roman" w:hAnsi="Arial" w:cs="Arial"/>
          <w:color w:val="333333"/>
          <w:sz w:val="18"/>
          <w:szCs w:val="18"/>
        </w:rPr>
      </w:pPr>
      <w:r w:rsidRPr="00DF35A3">
        <w:rPr>
          <w:rFonts w:ascii="Arial" w:eastAsia="Times New Roman" w:hAnsi="Arial" w:cs="Arial"/>
          <w:color w:val="333333"/>
          <w:sz w:val="18"/>
          <w:szCs w:val="18"/>
        </w:rPr>
        <w:tab/>
        <w:t xml:space="preserve">Such a ruling could never invade Michigan’s jurisprudence because of MRE 703, which prevents backdoor hearsay by requiring </w:t>
      </w:r>
      <w:r w:rsidR="00DF35A3" w:rsidRPr="00DF35A3">
        <w:rPr>
          <w:rFonts w:ascii="Arial" w:eastAsia="Times New Roman" w:hAnsi="Arial" w:cs="Arial"/>
          <w:color w:val="333333"/>
          <w:sz w:val="18"/>
          <w:szCs w:val="18"/>
        </w:rPr>
        <w:t xml:space="preserve">that </w:t>
      </w:r>
      <w:r w:rsidRPr="00DF35A3">
        <w:rPr>
          <w:rFonts w:ascii="Arial" w:eastAsia="Times New Roman" w:hAnsi="Arial" w:cs="Arial"/>
          <w:color w:val="333333"/>
          <w:sz w:val="18"/>
          <w:szCs w:val="18"/>
        </w:rPr>
        <w:t xml:space="preserve">all facts or data upon which an expert relies in forming an opinion </w:t>
      </w:r>
      <w:r w:rsidRPr="00DF35A3">
        <w:rPr>
          <w:rFonts w:ascii="Arial" w:eastAsia="Times New Roman" w:hAnsi="Arial" w:cs="Arial"/>
          <w:color w:val="333333"/>
          <w:sz w:val="18"/>
          <w:szCs w:val="18"/>
          <w:u w:val="single"/>
        </w:rPr>
        <w:t>shall</w:t>
      </w:r>
      <w:r w:rsidRPr="00DF35A3">
        <w:rPr>
          <w:rFonts w:ascii="Arial" w:eastAsia="Times New Roman" w:hAnsi="Arial" w:cs="Arial"/>
          <w:color w:val="333333"/>
          <w:sz w:val="18"/>
          <w:szCs w:val="18"/>
        </w:rPr>
        <w:t xml:space="preserve"> be in evidence (MRE 703). In Michigan, the Supreme Court is taking comment on a proposed addition to the code of criminal procedure</w:t>
      </w:r>
      <w:r w:rsidR="00DF35A3" w:rsidRPr="00DF35A3">
        <w:rPr>
          <w:rFonts w:ascii="Arial" w:eastAsia="Times New Roman" w:hAnsi="Arial" w:cs="Arial"/>
          <w:color w:val="333333"/>
          <w:sz w:val="18"/>
          <w:szCs w:val="18"/>
        </w:rPr>
        <w:t>. The court proposed a court rule allowing for “notice and demand.” In other words, the prosecution may put the accused on notice of the intent to offer the lab report without supporting testimony and require the accused to demand live testimony. Those who have concerns should make your voice heard.</w:t>
      </w:r>
    </w:p>
    <w:p w:rsidR="00F14B5E" w:rsidRPr="00F14B5E" w:rsidRDefault="00F14B5E" w:rsidP="004503A9">
      <w:pPr>
        <w:spacing w:after="0" w:line="240" w:lineRule="auto"/>
        <w:jc w:val="both"/>
        <w:rPr>
          <w:rFonts w:ascii="Arial" w:eastAsia="Times New Roman" w:hAnsi="Arial" w:cs="Arial"/>
          <w:color w:val="333333"/>
          <w:sz w:val="18"/>
          <w:szCs w:val="18"/>
        </w:rPr>
      </w:pPr>
      <w:r w:rsidRPr="00F14B5E">
        <w:rPr>
          <w:rFonts w:ascii="Arial" w:eastAsia="Times New Roman" w:hAnsi="Arial" w:cs="Arial"/>
          <w:color w:val="333333"/>
          <w:sz w:val="18"/>
          <w:szCs w:val="18"/>
        </w:rPr>
        <w:t> </w:t>
      </w:r>
    </w:p>
    <w:p w:rsidR="00F14B5E" w:rsidRPr="00F14B5E" w:rsidRDefault="00F14B5E" w:rsidP="004503A9">
      <w:pPr>
        <w:spacing w:line="240" w:lineRule="auto"/>
        <w:jc w:val="both"/>
        <w:rPr>
          <w:rFonts w:ascii="Arial" w:eastAsia="Times New Roman" w:hAnsi="Arial" w:cs="Arial"/>
          <w:color w:val="333333"/>
          <w:sz w:val="18"/>
          <w:szCs w:val="18"/>
        </w:rPr>
      </w:pPr>
      <w:r w:rsidRPr="00F14B5E">
        <w:rPr>
          <w:rFonts w:ascii="Arial" w:eastAsia="Times New Roman" w:hAnsi="Arial" w:cs="Arial"/>
          <w:color w:val="333333"/>
          <w:sz w:val="18"/>
          <w:szCs w:val="18"/>
        </w:rPr>
        <w:t xml:space="preserve">Mike Nichols is an OWI expert, adjunct law professor and author of </w:t>
      </w:r>
      <w:r w:rsidRPr="00F14B5E">
        <w:rPr>
          <w:rFonts w:ascii="Arial" w:eastAsia="Times New Roman" w:hAnsi="Arial" w:cs="Arial"/>
          <w:i/>
          <w:iCs/>
          <w:color w:val="333333"/>
          <w:sz w:val="18"/>
          <w:szCs w:val="18"/>
        </w:rPr>
        <w:t>The Michigan OWI Handbook</w:t>
      </w:r>
      <w:r w:rsidRPr="00F14B5E">
        <w:rPr>
          <w:rFonts w:ascii="Arial" w:eastAsia="Times New Roman" w:hAnsi="Arial" w:cs="Arial"/>
          <w:color w:val="333333"/>
          <w:sz w:val="18"/>
          <w:szCs w:val="18"/>
        </w:rPr>
        <w:t xml:space="preserve"> by Thomson Reuters West Publishing.</w:t>
      </w:r>
      <w:r w:rsidR="001132F1">
        <w:rPr>
          <w:rFonts w:ascii="Arial" w:eastAsia="Times New Roman" w:hAnsi="Arial" w:cs="Arial"/>
          <w:color w:val="333333"/>
          <w:sz w:val="18"/>
          <w:szCs w:val="18"/>
        </w:rPr>
        <w:t xml:space="preserve"> He is a member of the National College </w:t>
      </w:r>
      <w:proofErr w:type="spellStart"/>
      <w:proofErr w:type="gramStart"/>
      <w:r w:rsidR="001132F1">
        <w:rPr>
          <w:rFonts w:ascii="Arial" w:eastAsia="Times New Roman" w:hAnsi="Arial" w:cs="Arial"/>
          <w:color w:val="333333"/>
          <w:sz w:val="18"/>
          <w:szCs w:val="18"/>
        </w:rPr>
        <w:t>fr</w:t>
      </w:r>
      <w:proofErr w:type="spellEnd"/>
      <w:proofErr w:type="gramEnd"/>
      <w:r w:rsidR="001132F1">
        <w:rPr>
          <w:rFonts w:ascii="Arial" w:eastAsia="Times New Roman" w:hAnsi="Arial" w:cs="Arial"/>
          <w:color w:val="333333"/>
          <w:sz w:val="18"/>
          <w:szCs w:val="18"/>
        </w:rPr>
        <w:t xml:space="preserve"> DUI Defense and recently completed the NCDD Summer Session held at the Harvard Law School.</w:t>
      </w:r>
      <w:r w:rsidRPr="00F14B5E">
        <w:rPr>
          <w:rFonts w:ascii="Arial" w:eastAsia="Times New Roman" w:hAnsi="Arial" w:cs="Arial"/>
          <w:color w:val="333333"/>
          <w:sz w:val="18"/>
          <w:szCs w:val="18"/>
        </w:rPr>
        <w:t xml:space="preserve"> His office is based in</w:t>
      </w:r>
      <w:r w:rsidR="00E92050">
        <w:rPr>
          <w:rFonts w:ascii="Arial" w:eastAsia="Times New Roman" w:hAnsi="Arial" w:cs="Arial"/>
          <w:color w:val="333333"/>
          <w:sz w:val="18"/>
          <w:szCs w:val="18"/>
        </w:rPr>
        <w:t xml:space="preserve"> </w:t>
      </w:r>
      <w:proofErr w:type="gramStart"/>
      <w:r w:rsidR="00E92050">
        <w:rPr>
          <w:rFonts w:ascii="Arial" w:eastAsia="Times New Roman" w:hAnsi="Arial" w:cs="Arial"/>
          <w:color w:val="333333"/>
          <w:sz w:val="18"/>
          <w:szCs w:val="18"/>
        </w:rPr>
        <w:t xml:space="preserve">East </w:t>
      </w:r>
      <w:r w:rsidRPr="00F14B5E">
        <w:rPr>
          <w:rFonts w:ascii="Arial" w:eastAsia="Times New Roman" w:hAnsi="Arial" w:cs="Arial"/>
          <w:color w:val="333333"/>
          <w:sz w:val="18"/>
          <w:szCs w:val="18"/>
        </w:rPr>
        <w:t xml:space="preserve"> Lansing</w:t>
      </w:r>
      <w:proofErr w:type="gramEnd"/>
      <w:r w:rsidRPr="00F14B5E">
        <w:rPr>
          <w:rFonts w:ascii="Arial" w:eastAsia="Times New Roman" w:hAnsi="Arial" w:cs="Arial"/>
          <w:color w:val="333333"/>
          <w:sz w:val="18"/>
          <w:szCs w:val="18"/>
        </w:rPr>
        <w:t xml:space="preserve">. He is available to take your call at 517.432.9000 or respond to your e-mail at </w:t>
      </w:r>
      <w:hyperlink r:id="rId8" w:history="1">
        <w:r w:rsidRPr="00F14B5E">
          <w:rPr>
            <w:rFonts w:ascii="Arial" w:eastAsia="Times New Roman" w:hAnsi="Arial" w:cs="Arial"/>
            <w:b/>
            <w:bCs/>
            <w:color w:val="8C0C04"/>
            <w:sz w:val="18"/>
            <w:szCs w:val="18"/>
            <w:u w:val="single"/>
          </w:rPr>
          <w:t>mnichols@nicholslaw.net</w:t>
        </w:r>
      </w:hyperlink>
      <w:r w:rsidRPr="00F14B5E">
        <w:rPr>
          <w:rFonts w:ascii="Arial" w:eastAsia="Times New Roman" w:hAnsi="Arial" w:cs="Arial"/>
          <w:color w:val="333333"/>
          <w:sz w:val="18"/>
          <w:szCs w:val="18"/>
        </w:rPr>
        <w:t xml:space="preserve">. </w:t>
      </w:r>
    </w:p>
    <w:p w:rsidR="00FE1A02" w:rsidRDefault="00FE1A02" w:rsidP="004503A9">
      <w:pPr>
        <w:jc w:val="both"/>
      </w:pPr>
    </w:p>
    <w:sectPr w:rsidR="00FE1A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9E" w:rsidRDefault="0047459E" w:rsidP="00D566FA">
      <w:pPr>
        <w:spacing w:after="0" w:line="240" w:lineRule="auto"/>
      </w:pPr>
      <w:r>
        <w:separator/>
      </w:r>
    </w:p>
  </w:endnote>
  <w:endnote w:type="continuationSeparator" w:id="0">
    <w:p w:rsidR="0047459E" w:rsidRDefault="0047459E" w:rsidP="00D5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9E" w:rsidRDefault="0047459E" w:rsidP="00D566FA">
      <w:pPr>
        <w:spacing w:after="0" w:line="240" w:lineRule="auto"/>
      </w:pPr>
      <w:r>
        <w:separator/>
      </w:r>
    </w:p>
  </w:footnote>
  <w:footnote w:type="continuationSeparator" w:id="0">
    <w:p w:rsidR="0047459E" w:rsidRDefault="0047459E" w:rsidP="00D566FA">
      <w:pPr>
        <w:spacing w:after="0" w:line="240" w:lineRule="auto"/>
      </w:pPr>
      <w:r>
        <w:continuationSeparator/>
      </w:r>
    </w:p>
  </w:footnote>
  <w:footnote w:id="1">
    <w:p w:rsidR="00D566FA" w:rsidRDefault="00D566FA" w:rsidP="00D566FA">
      <w:pPr>
        <w:pStyle w:val="Default"/>
      </w:pPr>
      <w:r>
        <w:rPr>
          <w:rStyle w:val="FootnoteReference"/>
        </w:rPr>
        <w:footnoteRef/>
      </w:r>
      <w:r>
        <w:t xml:space="preserve"> </w:t>
      </w:r>
      <w:r>
        <w:rPr>
          <w:sz w:val="18"/>
          <w:szCs w:val="18"/>
        </w:rPr>
        <w:t>No. 09–10876. Argued March 2, 2011—Decided June 23, 2011</w:t>
      </w:r>
    </w:p>
  </w:footnote>
  <w:footnote w:id="2">
    <w:p w:rsidR="001132F1" w:rsidRPr="00C539BE" w:rsidRDefault="001132F1">
      <w:pPr>
        <w:pStyle w:val="FootnoteText"/>
      </w:pPr>
      <w:r>
        <w:rPr>
          <w:rStyle w:val="FootnoteReference"/>
        </w:rPr>
        <w:footnoteRef/>
      </w:r>
      <w:r>
        <w:t xml:space="preserve"> See </w:t>
      </w:r>
      <w:r>
        <w:rPr>
          <w:i/>
        </w:rPr>
        <w:t>Michigan v Bryant</w:t>
      </w:r>
      <w:r w:rsidR="00C539BE">
        <w:rPr>
          <w:i/>
        </w:rPr>
        <w:t xml:space="preserve">, </w:t>
      </w:r>
      <w:r w:rsidR="00C539BE">
        <w:rPr>
          <w:rFonts w:ascii="Arial" w:hAnsi="Arial" w:cs="Arial"/>
          <w:color w:val="000000"/>
          <w:lang w:val="en"/>
        </w:rPr>
        <w:t xml:space="preserve">131 S. Ct. 1143 </w:t>
      </w:r>
      <w:r w:rsidR="00C539BE">
        <w:rPr>
          <w:rFonts w:ascii="Arial" w:hAnsi="Arial" w:cs="Arial"/>
          <w:color w:val="000000"/>
          <w:lang w:val="en"/>
        </w:rPr>
        <w:t>(2011),</w:t>
      </w:r>
      <w:bookmarkStart w:id="0" w:name="_GoBack"/>
      <w:bookmarkEnd w:id="0"/>
    </w:p>
  </w:footnote>
  <w:footnote w:id="3">
    <w:p w:rsidR="001132F1" w:rsidRDefault="001132F1" w:rsidP="001132F1">
      <w:pPr>
        <w:spacing w:before="100" w:beforeAutospacing="1" w:after="100" w:afterAutospacing="1"/>
      </w:pPr>
      <w:r>
        <w:rPr>
          <w:rStyle w:val="FootnoteReference"/>
        </w:rPr>
        <w:footnoteRef/>
      </w:r>
      <w:r>
        <w:t xml:space="preserve"> </w:t>
      </w:r>
      <w:r>
        <w:rPr>
          <w:color w:val="000000"/>
          <w:sz w:val="19"/>
          <w:szCs w:val="19"/>
        </w:rPr>
        <w:t>Not Reported in A.3d, 2011 WL 3241467 (</w:t>
      </w:r>
      <w:proofErr w:type="spellStart"/>
      <w:r>
        <w:rPr>
          <w:color w:val="000000"/>
          <w:sz w:val="19"/>
          <w:szCs w:val="19"/>
        </w:rPr>
        <w:t>N.J.Super.A.D</w:t>
      </w:r>
      <w:proofErr w:type="spellEnd"/>
      <w:r>
        <w:rPr>
          <w:color w:val="000000"/>
          <w:sz w:val="19"/>
          <w:szCs w:val="19"/>
        </w:rPr>
        <w:t>.)</w:t>
      </w:r>
    </w:p>
    <w:p w:rsidR="001132F1" w:rsidRDefault="001132F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5E"/>
    <w:rsid w:val="001132F1"/>
    <w:rsid w:val="004503A9"/>
    <w:rsid w:val="0047459E"/>
    <w:rsid w:val="00816841"/>
    <w:rsid w:val="00C539BE"/>
    <w:rsid w:val="00D566FA"/>
    <w:rsid w:val="00DF35A3"/>
    <w:rsid w:val="00E92050"/>
    <w:rsid w:val="00F14B5E"/>
    <w:rsid w:val="00F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B5E"/>
    <w:pPr>
      <w:spacing w:after="100" w:afterAutospacing="1" w:line="255" w:lineRule="atLeast"/>
    </w:pPr>
    <w:rPr>
      <w:rFonts w:ascii="Arial" w:eastAsia="Times New Roman" w:hAnsi="Arial" w:cs="Arial"/>
      <w:color w:val="333333"/>
      <w:sz w:val="18"/>
      <w:szCs w:val="18"/>
    </w:rPr>
  </w:style>
  <w:style w:type="paragraph" w:styleId="FootnoteText">
    <w:name w:val="footnote text"/>
    <w:basedOn w:val="Normal"/>
    <w:link w:val="FootnoteTextChar"/>
    <w:uiPriority w:val="99"/>
    <w:semiHidden/>
    <w:unhideWhenUsed/>
    <w:rsid w:val="00D56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6FA"/>
    <w:rPr>
      <w:sz w:val="20"/>
      <w:szCs w:val="20"/>
    </w:rPr>
  </w:style>
  <w:style w:type="character" w:styleId="FootnoteReference">
    <w:name w:val="footnote reference"/>
    <w:basedOn w:val="DefaultParagraphFont"/>
    <w:uiPriority w:val="99"/>
    <w:semiHidden/>
    <w:unhideWhenUsed/>
    <w:rsid w:val="00D566FA"/>
    <w:rPr>
      <w:vertAlign w:val="superscript"/>
    </w:rPr>
  </w:style>
  <w:style w:type="paragraph" w:customStyle="1" w:styleId="Default">
    <w:name w:val="Default"/>
    <w:rsid w:val="00D566FA"/>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CM1">
    <w:name w:val="CM1"/>
    <w:basedOn w:val="Default"/>
    <w:next w:val="Default"/>
    <w:uiPriority w:val="99"/>
    <w:rsid w:val="00D566FA"/>
    <w:rPr>
      <w:rFonts w:cstheme="minorBidi"/>
      <w:color w:val="auto"/>
    </w:rPr>
  </w:style>
  <w:style w:type="paragraph" w:customStyle="1" w:styleId="CM15">
    <w:name w:val="CM15"/>
    <w:basedOn w:val="Default"/>
    <w:next w:val="Default"/>
    <w:uiPriority w:val="99"/>
    <w:rsid w:val="00816841"/>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B5E"/>
    <w:pPr>
      <w:spacing w:after="100" w:afterAutospacing="1" w:line="255" w:lineRule="atLeast"/>
    </w:pPr>
    <w:rPr>
      <w:rFonts w:ascii="Arial" w:eastAsia="Times New Roman" w:hAnsi="Arial" w:cs="Arial"/>
      <w:color w:val="333333"/>
      <w:sz w:val="18"/>
      <w:szCs w:val="18"/>
    </w:rPr>
  </w:style>
  <w:style w:type="paragraph" w:styleId="FootnoteText">
    <w:name w:val="footnote text"/>
    <w:basedOn w:val="Normal"/>
    <w:link w:val="FootnoteTextChar"/>
    <w:uiPriority w:val="99"/>
    <w:semiHidden/>
    <w:unhideWhenUsed/>
    <w:rsid w:val="00D566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6FA"/>
    <w:rPr>
      <w:sz w:val="20"/>
      <w:szCs w:val="20"/>
    </w:rPr>
  </w:style>
  <w:style w:type="character" w:styleId="FootnoteReference">
    <w:name w:val="footnote reference"/>
    <w:basedOn w:val="DefaultParagraphFont"/>
    <w:uiPriority w:val="99"/>
    <w:semiHidden/>
    <w:unhideWhenUsed/>
    <w:rsid w:val="00D566FA"/>
    <w:rPr>
      <w:vertAlign w:val="superscript"/>
    </w:rPr>
  </w:style>
  <w:style w:type="paragraph" w:customStyle="1" w:styleId="Default">
    <w:name w:val="Default"/>
    <w:rsid w:val="00D566FA"/>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CM1">
    <w:name w:val="CM1"/>
    <w:basedOn w:val="Default"/>
    <w:next w:val="Default"/>
    <w:uiPriority w:val="99"/>
    <w:rsid w:val="00D566FA"/>
    <w:rPr>
      <w:rFonts w:cstheme="minorBidi"/>
      <w:color w:val="auto"/>
    </w:rPr>
  </w:style>
  <w:style w:type="paragraph" w:customStyle="1" w:styleId="CM15">
    <w:name w:val="CM15"/>
    <w:basedOn w:val="Default"/>
    <w:next w:val="Default"/>
    <w:uiPriority w:val="99"/>
    <w:rsid w:val="00816841"/>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5425">
      <w:bodyDiv w:val="1"/>
      <w:marLeft w:val="0"/>
      <w:marRight w:val="0"/>
      <w:marTop w:val="0"/>
      <w:marBottom w:val="0"/>
      <w:divBdr>
        <w:top w:val="none" w:sz="0" w:space="0" w:color="auto"/>
        <w:left w:val="none" w:sz="0" w:space="0" w:color="auto"/>
        <w:bottom w:val="none" w:sz="0" w:space="0" w:color="auto"/>
        <w:right w:val="none" w:sz="0" w:space="0" w:color="auto"/>
      </w:divBdr>
    </w:div>
    <w:div w:id="2140564126">
      <w:bodyDiv w:val="1"/>
      <w:marLeft w:val="0"/>
      <w:marRight w:val="0"/>
      <w:marTop w:val="0"/>
      <w:marBottom w:val="0"/>
      <w:divBdr>
        <w:top w:val="none" w:sz="0" w:space="0" w:color="auto"/>
        <w:left w:val="none" w:sz="0" w:space="0" w:color="auto"/>
        <w:bottom w:val="none" w:sz="0" w:space="0" w:color="auto"/>
        <w:right w:val="none" w:sz="0" w:space="0" w:color="auto"/>
      </w:divBdr>
      <w:divsChild>
        <w:div w:id="1739748483">
          <w:marLeft w:val="0"/>
          <w:marRight w:val="0"/>
          <w:marTop w:val="100"/>
          <w:marBottom w:val="100"/>
          <w:divBdr>
            <w:top w:val="none" w:sz="0" w:space="0" w:color="auto"/>
            <w:left w:val="none" w:sz="0" w:space="0" w:color="auto"/>
            <w:bottom w:val="none" w:sz="0" w:space="0" w:color="auto"/>
            <w:right w:val="none" w:sz="0" w:space="0" w:color="auto"/>
          </w:divBdr>
          <w:divsChild>
            <w:div w:id="1381829852">
              <w:marLeft w:val="0"/>
              <w:marRight w:val="0"/>
              <w:marTop w:val="0"/>
              <w:marBottom w:val="0"/>
              <w:divBdr>
                <w:top w:val="none" w:sz="0" w:space="0" w:color="auto"/>
                <w:left w:val="none" w:sz="0" w:space="0" w:color="auto"/>
                <w:bottom w:val="none" w:sz="0" w:space="0" w:color="auto"/>
                <w:right w:val="none" w:sz="0" w:space="0" w:color="auto"/>
              </w:divBdr>
              <w:divsChild>
                <w:div w:id="1753576962">
                  <w:marLeft w:val="0"/>
                  <w:marRight w:val="0"/>
                  <w:marTop w:val="0"/>
                  <w:marBottom w:val="0"/>
                  <w:divBdr>
                    <w:top w:val="none" w:sz="0" w:space="0" w:color="auto"/>
                    <w:left w:val="none" w:sz="0" w:space="0" w:color="auto"/>
                    <w:bottom w:val="none" w:sz="0" w:space="0" w:color="auto"/>
                    <w:right w:val="none" w:sz="0" w:space="0" w:color="auto"/>
                  </w:divBdr>
                  <w:divsChild>
                    <w:div w:id="47456428">
                      <w:marLeft w:val="0"/>
                      <w:marRight w:val="0"/>
                      <w:marTop w:val="0"/>
                      <w:marBottom w:val="0"/>
                      <w:divBdr>
                        <w:top w:val="none" w:sz="0" w:space="0" w:color="auto"/>
                        <w:left w:val="none" w:sz="0" w:space="0" w:color="auto"/>
                        <w:bottom w:val="none" w:sz="0" w:space="0" w:color="auto"/>
                        <w:right w:val="none" w:sz="0" w:space="0" w:color="auto"/>
                      </w:divBdr>
                      <w:divsChild>
                        <w:div w:id="2019694357">
                          <w:marLeft w:val="0"/>
                          <w:marRight w:val="0"/>
                          <w:marTop w:val="0"/>
                          <w:marBottom w:val="0"/>
                          <w:divBdr>
                            <w:top w:val="none" w:sz="0" w:space="0" w:color="auto"/>
                            <w:left w:val="none" w:sz="0" w:space="0" w:color="auto"/>
                            <w:bottom w:val="none" w:sz="0" w:space="0" w:color="auto"/>
                            <w:right w:val="none" w:sz="0" w:space="0" w:color="auto"/>
                          </w:divBdr>
                          <w:divsChild>
                            <w:div w:id="1087388876">
                              <w:marLeft w:val="0"/>
                              <w:marRight w:val="0"/>
                              <w:marTop w:val="0"/>
                              <w:marBottom w:val="210"/>
                              <w:divBdr>
                                <w:top w:val="none" w:sz="0" w:space="0" w:color="auto"/>
                                <w:left w:val="none" w:sz="0" w:space="0" w:color="auto"/>
                                <w:bottom w:val="none" w:sz="0" w:space="0" w:color="auto"/>
                                <w:right w:val="none" w:sz="0" w:space="0" w:color="auto"/>
                              </w:divBdr>
                              <w:divsChild>
                                <w:div w:id="1418358543">
                                  <w:marLeft w:val="0"/>
                                  <w:marRight w:val="0"/>
                                  <w:marTop w:val="0"/>
                                  <w:marBottom w:val="0"/>
                                  <w:divBdr>
                                    <w:top w:val="none" w:sz="0" w:space="0" w:color="auto"/>
                                    <w:left w:val="none" w:sz="0" w:space="0" w:color="auto"/>
                                    <w:bottom w:val="none" w:sz="0" w:space="0" w:color="auto"/>
                                    <w:right w:val="none" w:sz="0" w:space="0" w:color="auto"/>
                                  </w:divBdr>
                                  <w:divsChild>
                                    <w:div w:id="564296324">
                                      <w:marLeft w:val="0"/>
                                      <w:marRight w:val="0"/>
                                      <w:marTop w:val="0"/>
                                      <w:marBottom w:val="0"/>
                                      <w:divBdr>
                                        <w:top w:val="none" w:sz="0" w:space="0" w:color="auto"/>
                                        <w:left w:val="none" w:sz="0" w:space="0" w:color="auto"/>
                                        <w:bottom w:val="none" w:sz="0" w:space="0" w:color="auto"/>
                                        <w:right w:val="none" w:sz="0" w:space="0" w:color="auto"/>
                                      </w:divBdr>
                                      <w:divsChild>
                                        <w:div w:id="720596856">
                                          <w:marLeft w:val="0"/>
                                          <w:marRight w:val="0"/>
                                          <w:marTop w:val="0"/>
                                          <w:marBottom w:val="0"/>
                                          <w:divBdr>
                                            <w:top w:val="none" w:sz="0" w:space="0" w:color="auto"/>
                                            <w:left w:val="none" w:sz="0" w:space="0" w:color="auto"/>
                                            <w:bottom w:val="none" w:sz="0" w:space="0" w:color="auto"/>
                                            <w:right w:val="none" w:sz="0" w:space="0" w:color="auto"/>
                                          </w:divBdr>
                                        </w:div>
                                        <w:div w:id="79376257">
                                          <w:marLeft w:val="0"/>
                                          <w:marRight w:val="0"/>
                                          <w:marTop w:val="0"/>
                                          <w:marBottom w:val="0"/>
                                          <w:divBdr>
                                            <w:top w:val="none" w:sz="0" w:space="0" w:color="auto"/>
                                            <w:left w:val="none" w:sz="0" w:space="0" w:color="auto"/>
                                            <w:bottom w:val="none" w:sz="0" w:space="0" w:color="auto"/>
                                            <w:right w:val="none" w:sz="0" w:space="0" w:color="auto"/>
                                          </w:divBdr>
                                        </w:div>
                                        <w:div w:id="125128747">
                                          <w:marLeft w:val="0"/>
                                          <w:marRight w:val="0"/>
                                          <w:marTop w:val="0"/>
                                          <w:marBottom w:val="0"/>
                                          <w:divBdr>
                                            <w:top w:val="none" w:sz="0" w:space="0" w:color="auto"/>
                                            <w:left w:val="none" w:sz="0" w:space="0" w:color="auto"/>
                                            <w:bottom w:val="none" w:sz="0" w:space="0" w:color="auto"/>
                                            <w:right w:val="none" w:sz="0" w:space="0" w:color="auto"/>
                                          </w:divBdr>
                                        </w:div>
                                        <w:div w:id="251285437">
                                          <w:marLeft w:val="0"/>
                                          <w:marRight w:val="0"/>
                                          <w:marTop w:val="0"/>
                                          <w:marBottom w:val="0"/>
                                          <w:divBdr>
                                            <w:top w:val="none" w:sz="0" w:space="0" w:color="auto"/>
                                            <w:left w:val="none" w:sz="0" w:space="0" w:color="auto"/>
                                            <w:bottom w:val="none" w:sz="0" w:space="0" w:color="auto"/>
                                            <w:right w:val="none" w:sz="0" w:space="0" w:color="auto"/>
                                          </w:divBdr>
                                        </w:div>
                                        <w:div w:id="409691305">
                                          <w:marLeft w:val="0"/>
                                          <w:marRight w:val="0"/>
                                          <w:marTop w:val="0"/>
                                          <w:marBottom w:val="0"/>
                                          <w:divBdr>
                                            <w:top w:val="none" w:sz="0" w:space="0" w:color="auto"/>
                                            <w:left w:val="none" w:sz="0" w:space="0" w:color="auto"/>
                                            <w:bottom w:val="none" w:sz="0" w:space="0" w:color="auto"/>
                                            <w:right w:val="none" w:sz="0" w:space="0" w:color="auto"/>
                                          </w:divBdr>
                                        </w:div>
                                        <w:div w:id="1039284337">
                                          <w:marLeft w:val="0"/>
                                          <w:marRight w:val="0"/>
                                          <w:marTop w:val="0"/>
                                          <w:marBottom w:val="0"/>
                                          <w:divBdr>
                                            <w:top w:val="none" w:sz="0" w:space="0" w:color="auto"/>
                                            <w:left w:val="none" w:sz="0" w:space="0" w:color="auto"/>
                                            <w:bottom w:val="none" w:sz="0" w:space="0" w:color="auto"/>
                                            <w:right w:val="none" w:sz="0" w:space="0" w:color="auto"/>
                                          </w:divBdr>
                                        </w:div>
                                        <w:div w:id="1583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ichols@nicholslaw.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4144-07F5-45AA-B9C5-24CB55F8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mnichols</dc:creator>
  <cp:lastModifiedBy>mnichols</cp:lastModifiedBy>
  <cp:revision>3</cp:revision>
  <dcterms:created xsi:type="dcterms:W3CDTF">2011-08-09T01:28:00Z</dcterms:created>
  <dcterms:modified xsi:type="dcterms:W3CDTF">2011-08-09T10:17:00Z</dcterms:modified>
</cp:coreProperties>
</file>